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0D8D" w14:textId="7BCC1415" w:rsidR="00FF4C36" w:rsidRPr="00EE006E" w:rsidRDefault="00FF4C36" w:rsidP="00FF4C3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w:t>
      </w:r>
      <w:r w:rsidR="00F55556">
        <w:rPr>
          <w:b/>
          <w:sz w:val="24"/>
          <w:szCs w:val="24"/>
        </w:rPr>
        <w:t>2</w:t>
      </w:r>
      <w:r w:rsidR="00420CD2">
        <w:rPr>
          <w:b/>
          <w:sz w:val="24"/>
          <w:szCs w:val="24"/>
        </w:rPr>
        <w:t>1</w:t>
      </w:r>
      <w:r w:rsidRPr="00121C7F">
        <w:rPr>
          <w:rFonts w:hint="eastAsia"/>
          <w:b/>
          <w:sz w:val="24"/>
          <w:szCs w:val="24"/>
          <w:lang w:eastAsia="ko-KR"/>
        </w:rPr>
        <w:tab/>
      </w:r>
      <w:r>
        <w:rPr>
          <w:b/>
          <w:sz w:val="24"/>
          <w:szCs w:val="24"/>
          <w:lang w:eastAsia="ko-KR"/>
        </w:rPr>
        <w:tab/>
      </w:r>
      <w:r w:rsidR="003C356D" w:rsidRPr="003C356D">
        <w:rPr>
          <w:b/>
          <w:sz w:val="24"/>
          <w:szCs w:val="24"/>
          <w:lang w:eastAsia="ko-KR"/>
        </w:rPr>
        <w:t>R1-2503542</w:t>
      </w:r>
    </w:p>
    <w:bookmarkEnd w:id="0"/>
    <w:bookmarkEnd w:id="1"/>
    <w:p w14:paraId="327747E9" w14:textId="7A1EBEDB" w:rsidR="0054291C" w:rsidRPr="00DB3EA1" w:rsidRDefault="00420CD2" w:rsidP="0054291C">
      <w:pPr>
        <w:pStyle w:val="Header"/>
        <w:spacing w:after="240"/>
        <w:rPr>
          <w:noProof w:val="0"/>
          <w:sz w:val="24"/>
          <w:szCs w:val="24"/>
          <w:lang w:val="en-US"/>
        </w:rPr>
      </w:pPr>
      <w:r w:rsidRPr="00420CD2">
        <w:rPr>
          <w:rFonts w:eastAsia="MS Mincho" w:cs="Arial"/>
          <w:bCs/>
          <w:sz w:val="24"/>
          <w:szCs w:val="24"/>
          <w:lang w:eastAsia="ja-JP"/>
        </w:rPr>
        <w:t>St Julian's, Malta, 19 - 23 May, 2025</w:t>
      </w:r>
    </w:p>
    <w:p w14:paraId="534B7880" w14:textId="1A70221C"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F55556" w:rsidRPr="003C356D">
        <w:rPr>
          <w:rFonts w:ascii="Arial" w:hAnsi="Arial"/>
          <w:sz w:val="24"/>
        </w:rPr>
        <w:t>5</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33882135"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D0835" w:rsidRPr="004D0835">
        <w:rPr>
          <w:rFonts w:ascii="Arial" w:hAnsi="Arial"/>
          <w:sz w:val="24"/>
          <w:lang w:eastAsia="ko-KR"/>
        </w:rPr>
        <w:t xml:space="preserve">Discussion on </w:t>
      </w:r>
      <w:r w:rsidR="00420CD2" w:rsidRPr="00420CD2">
        <w:rPr>
          <w:rFonts w:ascii="Arial" w:hAnsi="Arial"/>
          <w:sz w:val="24"/>
          <w:lang w:eastAsia="ko-KR"/>
        </w:rPr>
        <w:t xml:space="preserve">the </w:t>
      </w:r>
      <w:proofErr w:type="spellStart"/>
      <w:r w:rsidR="00420CD2" w:rsidRPr="00420CD2">
        <w:rPr>
          <w:rFonts w:ascii="Arial" w:hAnsi="Arial"/>
          <w:sz w:val="24"/>
          <w:lang w:eastAsia="ko-KR"/>
        </w:rPr>
        <w:t>startSFN</w:t>
      </w:r>
      <w:proofErr w:type="spellEnd"/>
      <w:r w:rsidR="00420CD2" w:rsidRPr="00420CD2">
        <w:rPr>
          <w:rFonts w:ascii="Arial" w:hAnsi="Arial"/>
          <w:sz w:val="24"/>
          <w:lang w:eastAsia="ko-KR"/>
        </w:rPr>
        <w:t xml:space="preserve"> parameter for positioning SRS with TX frequency hopping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6D835D6" w14:textId="607CDBCC" w:rsidR="00F37C6B" w:rsidRPr="00A4528F" w:rsidRDefault="00F55556" w:rsidP="007D528E">
      <w:pPr>
        <w:spacing w:before="240" w:line="288" w:lineRule="auto"/>
        <w:jc w:val="both"/>
        <w:rPr>
          <w:rFonts w:eastAsiaTheme="minorEastAsia"/>
          <w:lang w:eastAsia="ko-KR"/>
        </w:rPr>
      </w:pPr>
      <w:r>
        <w:rPr>
          <w:lang w:val="en-GB" w:eastAsia="ko-KR"/>
        </w:rPr>
        <w:t>In RAN1#1</w:t>
      </w:r>
      <w:r w:rsidR="00420CD2">
        <w:rPr>
          <w:lang w:val="en-GB" w:eastAsia="ko-KR"/>
        </w:rPr>
        <w:t>21</w:t>
      </w:r>
      <w:r w:rsidR="004D0835">
        <w:rPr>
          <w:lang w:val="en-GB" w:eastAsia="ko-KR"/>
        </w:rPr>
        <w:t xml:space="preserve">, </w:t>
      </w:r>
      <w:r w:rsidR="00420CD2">
        <w:rPr>
          <w:lang w:val="en-GB" w:eastAsia="ko-KR"/>
        </w:rPr>
        <w:t xml:space="preserve">RAN2 sends following LS to RAN1 on the </w:t>
      </w:r>
      <w:proofErr w:type="spellStart"/>
      <w:r w:rsidR="00420CD2" w:rsidRPr="00420CD2">
        <w:rPr>
          <w:lang w:val="en-GB" w:eastAsia="ko-KR"/>
        </w:rPr>
        <w:t>the</w:t>
      </w:r>
      <w:proofErr w:type="spellEnd"/>
      <w:r w:rsidR="00420CD2" w:rsidRPr="00420CD2">
        <w:rPr>
          <w:lang w:val="en-GB" w:eastAsia="ko-KR"/>
        </w:rPr>
        <w:t xml:space="preserve"> </w:t>
      </w:r>
      <w:proofErr w:type="spellStart"/>
      <w:r w:rsidR="00420CD2" w:rsidRPr="00420CD2">
        <w:rPr>
          <w:lang w:val="en-GB" w:eastAsia="ko-KR"/>
        </w:rPr>
        <w:t>startSFN</w:t>
      </w:r>
      <w:proofErr w:type="spellEnd"/>
      <w:r w:rsidR="00420CD2" w:rsidRPr="00420CD2">
        <w:rPr>
          <w:lang w:val="en-GB" w:eastAsia="ko-KR"/>
        </w:rPr>
        <w:t xml:space="preserve"> parameter for positioning SRS with TX frequency hopping</w:t>
      </w:r>
      <w:r w:rsidR="004D0835">
        <w:rPr>
          <w:lang w:val="en-GB" w:eastAsia="ko-KR"/>
        </w:rPr>
        <w:t>.</w:t>
      </w:r>
      <w:r w:rsidR="00420CD2">
        <w:rPr>
          <w:lang w:val="en-GB" w:eastAsia="ko-KR"/>
        </w:rPr>
        <w:t xml:space="preserve"> This </w:t>
      </w:r>
      <w:proofErr w:type="spellStart"/>
      <w:r w:rsidR="00420CD2">
        <w:rPr>
          <w:lang w:val="en-GB" w:eastAsia="ko-KR"/>
        </w:rPr>
        <w:t>tdoc</w:t>
      </w:r>
      <w:proofErr w:type="spellEnd"/>
      <w:r w:rsidR="00420CD2">
        <w:rPr>
          <w:lang w:val="en-GB" w:eastAsia="ko-KR"/>
        </w:rPr>
        <w:t xml:space="preserve"> is to discuss such issue and try to get reply to RAN2.</w:t>
      </w:r>
    </w:p>
    <w:p w14:paraId="3824DAAC"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23BFABF5"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4327A17C" w14:textId="00455991" w:rsidR="00A072AB" w:rsidRPr="004E7BAC" w:rsidRDefault="00420CD2"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proofErr w:type="spellStart"/>
      <w:r w:rsidRPr="00420CD2">
        <w:rPr>
          <w:szCs w:val="20"/>
          <w:lang w:val="en-US"/>
        </w:rPr>
        <w:t>startSFN</w:t>
      </w:r>
      <w:proofErr w:type="spellEnd"/>
      <w:r w:rsidRPr="00420CD2">
        <w:rPr>
          <w:szCs w:val="20"/>
          <w:lang w:val="en-US"/>
        </w:rPr>
        <w:t xml:space="preserve"> parameter for positioning SRS with TX </w:t>
      </w:r>
      <w:r>
        <w:rPr>
          <w:szCs w:val="20"/>
          <w:lang w:val="en-US"/>
        </w:rPr>
        <w:t>FH</w:t>
      </w:r>
    </w:p>
    <w:p w14:paraId="3D4362A9" w14:textId="677D50B6" w:rsidR="008206CB" w:rsidRDefault="00C76883" w:rsidP="00930FB2">
      <w:pPr>
        <w:spacing w:line="360" w:lineRule="auto"/>
        <w:jc w:val="both"/>
        <w:rPr>
          <w:lang w:val="en-GB" w:eastAsia="ko-KR"/>
        </w:rPr>
      </w:pPr>
      <w:r>
        <w:rPr>
          <w:lang w:val="en-GB" w:eastAsia="ko-KR"/>
        </w:rPr>
        <w:t xml:space="preserve">The </w:t>
      </w:r>
      <w:r w:rsidR="00861066">
        <w:rPr>
          <w:lang w:val="en-GB" w:eastAsia="ko-KR"/>
        </w:rPr>
        <w:t xml:space="preserve">original </w:t>
      </w:r>
      <w:r w:rsidR="00420CD2">
        <w:rPr>
          <w:lang w:val="en-GB" w:eastAsia="ko-KR"/>
        </w:rPr>
        <w:t>content of the LS is as following</w:t>
      </w:r>
    </w:p>
    <w:tbl>
      <w:tblPr>
        <w:tblStyle w:val="TableGrid"/>
        <w:tblW w:w="0" w:type="auto"/>
        <w:tblLook w:val="04A0" w:firstRow="1" w:lastRow="0" w:firstColumn="1" w:lastColumn="0" w:noHBand="0" w:noVBand="1"/>
      </w:tblPr>
      <w:tblGrid>
        <w:gridCol w:w="9628"/>
      </w:tblGrid>
      <w:tr w:rsidR="008206CB" w14:paraId="29A764B9" w14:textId="77777777" w:rsidTr="00861066">
        <w:trPr>
          <w:trHeight w:val="1058"/>
        </w:trPr>
        <w:tc>
          <w:tcPr>
            <w:tcW w:w="9628" w:type="dxa"/>
          </w:tcPr>
          <w:p w14:paraId="256C52F3" w14:textId="77777777" w:rsidR="00420CD2" w:rsidRPr="00420CD2" w:rsidRDefault="00420CD2" w:rsidP="00420CD2">
            <w:pPr>
              <w:widowControl w:val="0"/>
              <w:spacing w:after="120" w:line="256" w:lineRule="auto"/>
              <w:jc w:val="both"/>
              <w:rPr>
                <w:rFonts w:ascii="Arial" w:eastAsia="宋体" w:hAnsi="Arial" w:cs="Arial"/>
                <w:b/>
                <w:kern w:val="2"/>
                <w:sz w:val="21"/>
                <w:szCs w:val="21"/>
                <w:lang w:val="en-GB" w:eastAsia="en-GB"/>
              </w:rPr>
            </w:pPr>
            <w:r w:rsidRPr="00420CD2">
              <w:rPr>
                <w:rFonts w:ascii="Arial" w:eastAsia="宋体" w:hAnsi="Arial" w:cs="Arial"/>
                <w:b/>
                <w:kern w:val="2"/>
                <w:sz w:val="21"/>
                <w:szCs w:val="21"/>
                <w:lang w:val="en-GB" w:eastAsia="en-GB"/>
              </w:rPr>
              <w:t>1. Overall Description:</w:t>
            </w:r>
          </w:p>
          <w:p w14:paraId="47B70D38" w14:textId="77777777" w:rsidR="00420CD2" w:rsidRPr="00420CD2" w:rsidRDefault="00420CD2" w:rsidP="00420CD2">
            <w:pPr>
              <w:spacing w:before="100" w:beforeAutospacing="1" w:after="100" w:afterAutospacing="1" w:line="256" w:lineRule="auto"/>
              <w:rPr>
                <w:rFonts w:ascii="Arial" w:eastAsia="Calibri" w:hAnsi="Arial" w:cs="Arial"/>
                <w:lang w:val="en-GB" w:eastAsia="en-GB"/>
              </w:rPr>
            </w:pPr>
            <w:r w:rsidRPr="00420CD2">
              <w:rPr>
                <w:rFonts w:ascii="Arial" w:eastAsia="Calibri" w:hAnsi="Arial" w:cs="Arial"/>
                <w:lang w:val="en-GB" w:eastAsia="en-GB"/>
              </w:rPr>
              <w:t xml:space="preserve">According to the RAN1 higher layers parameter list, RAN2 implemented the parameters </w:t>
            </w:r>
            <w:proofErr w:type="spellStart"/>
            <w:r w:rsidRPr="00420CD2">
              <w:rPr>
                <w:rFonts w:ascii="Arial" w:eastAsia="Calibri" w:hAnsi="Arial" w:cs="Arial"/>
                <w:i/>
                <w:iCs/>
                <w:lang w:val="en-GB" w:eastAsia="en-GB"/>
              </w:rPr>
              <w:t>startSFN</w:t>
            </w:r>
            <w:proofErr w:type="spellEnd"/>
            <w:r w:rsidRPr="00420CD2">
              <w:rPr>
                <w:rFonts w:ascii="Arial" w:eastAsia="Calibri" w:hAnsi="Arial" w:cs="Arial"/>
                <w:lang w:val="en-GB" w:eastAsia="en-GB"/>
              </w:rPr>
              <w:t xml:space="preserve">, </w:t>
            </w:r>
            <w:proofErr w:type="spellStart"/>
            <w:r w:rsidRPr="00420CD2">
              <w:rPr>
                <w:rFonts w:ascii="Arial" w:eastAsia="Calibri" w:hAnsi="Arial" w:cs="Arial"/>
                <w:i/>
                <w:iCs/>
                <w:lang w:val="en-GB" w:eastAsia="en-GB"/>
              </w:rPr>
              <w:t>periodicityAndOffset</w:t>
            </w:r>
            <w:proofErr w:type="spellEnd"/>
            <w:r w:rsidRPr="00420CD2">
              <w:rPr>
                <w:rFonts w:ascii="Arial" w:eastAsia="Calibri" w:hAnsi="Arial" w:cs="Arial"/>
                <w:i/>
                <w:iCs/>
                <w:lang w:val="en-GB" w:eastAsia="en-GB"/>
              </w:rPr>
              <w:t xml:space="preserve"> </w:t>
            </w:r>
            <w:r w:rsidRPr="00420CD2">
              <w:rPr>
                <w:rFonts w:ascii="Arial" w:eastAsia="Calibri" w:hAnsi="Arial" w:cs="Arial"/>
                <w:lang w:val="en-GB" w:eastAsia="en-GB"/>
              </w:rPr>
              <w:t xml:space="preserve">and </w:t>
            </w:r>
            <w:r w:rsidRPr="00420CD2">
              <w:rPr>
                <w:rFonts w:ascii="Arial" w:eastAsia="Calibri" w:hAnsi="Arial" w:cs="Arial"/>
                <w:i/>
                <w:iCs/>
                <w:lang w:val="en-GB" w:eastAsia="en-GB"/>
              </w:rPr>
              <w:t>duration</w:t>
            </w:r>
            <w:r w:rsidRPr="00420CD2">
              <w:rPr>
                <w:rFonts w:ascii="Arial" w:eastAsia="Calibri" w:hAnsi="Arial" w:cs="Arial"/>
                <w:lang w:val="en-GB" w:eastAsia="en-GB"/>
              </w:rPr>
              <w:t xml:space="preserve"> in IE </w:t>
            </w:r>
            <w:r w:rsidRPr="00420CD2">
              <w:rPr>
                <w:rFonts w:ascii="Arial" w:eastAsia="Calibri" w:hAnsi="Arial" w:cs="Arial"/>
                <w:i/>
                <w:iCs/>
                <w:lang w:val="en-GB" w:eastAsia="en-GB"/>
              </w:rPr>
              <w:t>SRS-</w:t>
            </w:r>
            <w:proofErr w:type="spellStart"/>
            <w:r w:rsidRPr="00420CD2">
              <w:rPr>
                <w:rFonts w:ascii="Arial" w:eastAsia="Calibri" w:hAnsi="Arial" w:cs="Arial"/>
                <w:i/>
                <w:iCs/>
                <w:lang w:val="en-GB" w:eastAsia="en-GB"/>
              </w:rPr>
              <w:t>PosUplinkTransmissionWindowConfig</w:t>
            </w:r>
            <w:proofErr w:type="spellEnd"/>
            <w:r w:rsidRPr="00420CD2">
              <w:rPr>
                <w:rFonts w:ascii="Arial" w:eastAsia="Calibri" w:hAnsi="Arial" w:cs="Arial"/>
                <w:lang w:val="en-GB" w:eastAsia="en-GB"/>
              </w:rPr>
              <w:t xml:space="preserve"> in TS 38.331. However, there are different understandings in RAN2 on the need and interpretation of the parameter </w:t>
            </w:r>
            <w:proofErr w:type="spellStart"/>
            <w:r w:rsidRPr="00420CD2">
              <w:rPr>
                <w:rFonts w:ascii="Arial" w:eastAsia="Calibri" w:hAnsi="Arial" w:cs="Arial"/>
                <w:i/>
                <w:iCs/>
                <w:lang w:val="en-GB" w:eastAsia="en-GB"/>
              </w:rPr>
              <w:t>startSFN</w:t>
            </w:r>
            <w:proofErr w:type="spellEnd"/>
            <w:r w:rsidRPr="00420CD2">
              <w:rPr>
                <w:rFonts w:ascii="Arial" w:eastAsia="宋体" w:hAnsi="Arial" w:cs="Arial" w:hint="eastAsia"/>
                <w:i/>
                <w:iCs/>
                <w:lang w:val="en-GB" w:eastAsia="zh-CN"/>
              </w:rPr>
              <w:t xml:space="preserve">, </w:t>
            </w:r>
            <w:r w:rsidRPr="00420CD2">
              <w:rPr>
                <w:rFonts w:ascii="Arial" w:eastAsia="宋体" w:hAnsi="Arial" w:cs="Arial"/>
                <w:lang w:val="en-GB" w:eastAsia="zh-CN"/>
              </w:rPr>
              <w:t>which leads to different understanding on the actual time start of the UTW.</w:t>
            </w:r>
          </w:p>
          <w:p w14:paraId="5482E81F" w14:textId="77777777" w:rsidR="00420CD2" w:rsidRPr="00420CD2" w:rsidRDefault="00420CD2" w:rsidP="00420CD2">
            <w:pPr>
              <w:spacing w:before="100" w:beforeAutospacing="1" w:after="100" w:afterAutospacing="1" w:line="256" w:lineRule="auto"/>
              <w:rPr>
                <w:rFonts w:ascii="Arial" w:eastAsia="Calibri" w:hAnsi="Arial" w:cs="Arial"/>
                <w:lang w:val="en-GB" w:eastAsia="en-GB"/>
              </w:rPr>
            </w:pPr>
            <w:r w:rsidRPr="00420CD2">
              <w:rPr>
                <w:rFonts w:ascii="Arial" w:eastAsia="Calibri" w:hAnsi="Arial" w:cs="Arial"/>
                <w:lang w:val="en-GB" w:eastAsia="en-GB"/>
              </w:rPr>
              <w:t xml:space="preserve">Therefore, RAN2 would like to ask RAN1 the following questions with regards to the configuration of the parameter </w:t>
            </w:r>
            <w:proofErr w:type="spellStart"/>
            <w:r w:rsidRPr="00420CD2">
              <w:rPr>
                <w:rFonts w:ascii="Arial" w:eastAsia="Calibri" w:hAnsi="Arial" w:cs="Arial"/>
                <w:i/>
                <w:lang w:val="en-GB" w:eastAsia="en-GB"/>
              </w:rPr>
              <w:t>startSFN</w:t>
            </w:r>
            <w:proofErr w:type="spellEnd"/>
            <w:r w:rsidRPr="00420CD2">
              <w:rPr>
                <w:rFonts w:ascii="Arial" w:eastAsia="Calibri" w:hAnsi="Arial" w:cs="Arial"/>
                <w:lang w:val="en-GB" w:eastAsia="en-GB"/>
              </w:rPr>
              <w:t xml:space="preserve"> for the UTW:</w:t>
            </w:r>
          </w:p>
          <w:p w14:paraId="3D0FD1BE" w14:textId="77777777" w:rsidR="00420CD2" w:rsidRPr="00420CD2" w:rsidRDefault="00420CD2" w:rsidP="00420CD2">
            <w:pPr>
              <w:spacing w:before="100" w:beforeAutospacing="1" w:after="100" w:afterAutospacing="1" w:line="256" w:lineRule="auto"/>
              <w:rPr>
                <w:rFonts w:ascii="Arial" w:eastAsia="Calibri" w:hAnsi="Arial" w:cs="Arial"/>
                <w:lang w:val="en-GB" w:eastAsia="en-GB"/>
              </w:rPr>
            </w:pPr>
            <w:r w:rsidRPr="00420CD2">
              <w:rPr>
                <w:rFonts w:ascii="Arial" w:eastAsia="Calibri" w:hAnsi="Arial" w:cs="Arial"/>
                <w:lang w:val="en-GB" w:eastAsia="en-GB"/>
              </w:rPr>
              <w:t xml:space="preserve">Q1: Is the parameter </w:t>
            </w:r>
            <w:proofErr w:type="spellStart"/>
            <w:r w:rsidRPr="00420CD2">
              <w:rPr>
                <w:rFonts w:ascii="Arial" w:eastAsia="Calibri" w:hAnsi="Arial" w:cs="Arial"/>
                <w:i/>
                <w:lang w:val="en-GB" w:eastAsia="en-GB"/>
              </w:rPr>
              <w:t>startSFN</w:t>
            </w:r>
            <w:proofErr w:type="spellEnd"/>
            <w:r w:rsidRPr="00420CD2">
              <w:rPr>
                <w:rFonts w:ascii="Arial" w:eastAsia="Calibri" w:hAnsi="Arial" w:cs="Arial"/>
                <w:lang w:val="en-GB" w:eastAsia="en-GB"/>
              </w:rPr>
              <w:t xml:space="preserve"> needed for the UTW?</w:t>
            </w:r>
          </w:p>
          <w:p w14:paraId="22EE2FC1" w14:textId="77777777" w:rsidR="00420CD2" w:rsidRPr="00420CD2" w:rsidRDefault="00420CD2" w:rsidP="00420CD2">
            <w:pPr>
              <w:spacing w:before="100" w:beforeAutospacing="1" w:after="100" w:afterAutospacing="1" w:line="256" w:lineRule="auto"/>
              <w:rPr>
                <w:rFonts w:ascii="Arial" w:eastAsia="Calibri" w:hAnsi="Arial" w:cs="Arial"/>
                <w:lang w:val="en-GB" w:eastAsia="en-GB"/>
              </w:rPr>
            </w:pPr>
            <w:r w:rsidRPr="00420CD2">
              <w:rPr>
                <w:rFonts w:ascii="Arial" w:eastAsia="Calibri" w:hAnsi="Arial" w:cs="Arial"/>
                <w:lang w:val="en-GB" w:eastAsia="en-GB"/>
              </w:rPr>
              <w:t>Q2: If answer to Q1 is ‘yes’, how this parameter should be interpreted?</w:t>
            </w:r>
          </w:p>
          <w:p w14:paraId="26AACEC4" w14:textId="77777777" w:rsidR="00420CD2" w:rsidRPr="00420CD2" w:rsidRDefault="00420CD2" w:rsidP="00420CD2">
            <w:pPr>
              <w:widowControl w:val="0"/>
              <w:spacing w:after="120" w:line="256" w:lineRule="auto"/>
              <w:jc w:val="both"/>
              <w:rPr>
                <w:rFonts w:ascii="Arial" w:eastAsia="宋体" w:hAnsi="Arial" w:cs="Arial"/>
                <w:b/>
                <w:kern w:val="2"/>
                <w:lang w:val="en-GB" w:eastAsia="en-GB"/>
              </w:rPr>
            </w:pPr>
            <w:r w:rsidRPr="00420CD2">
              <w:rPr>
                <w:rFonts w:ascii="Arial" w:eastAsia="宋体" w:hAnsi="Arial" w:cs="Arial"/>
                <w:b/>
                <w:kern w:val="2"/>
                <w:lang w:val="en-GB" w:eastAsia="en-GB"/>
              </w:rPr>
              <w:t>2. Actions:</w:t>
            </w:r>
          </w:p>
          <w:p w14:paraId="01CAEBE8" w14:textId="77777777" w:rsidR="00420CD2" w:rsidRPr="00420CD2" w:rsidRDefault="00420CD2" w:rsidP="00420CD2">
            <w:pPr>
              <w:widowControl w:val="0"/>
              <w:spacing w:after="120" w:line="256" w:lineRule="auto"/>
              <w:ind w:left="1985" w:hanging="1985"/>
              <w:jc w:val="both"/>
              <w:rPr>
                <w:rFonts w:ascii="Arial" w:eastAsia="宋体" w:hAnsi="Arial" w:cs="Arial"/>
                <w:b/>
                <w:kern w:val="2"/>
                <w:lang w:val="en-GB" w:eastAsia="en-GB"/>
              </w:rPr>
            </w:pPr>
            <w:r w:rsidRPr="00420CD2">
              <w:rPr>
                <w:rFonts w:ascii="Arial" w:eastAsia="宋体" w:hAnsi="Arial" w:cs="Arial"/>
                <w:b/>
                <w:kern w:val="2"/>
                <w:lang w:val="en-GB" w:eastAsia="en-GB"/>
              </w:rPr>
              <w:t>To RAN WG1:</w:t>
            </w:r>
          </w:p>
          <w:p w14:paraId="61D7AA26" w14:textId="6D3C9E15" w:rsidR="008206CB" w:rsidRPr="00420CD2" w:rsidRDefault="00420CD2" w:rsidP="00420CD2">
            <w:pPr>
              <w:widowControl w:val="0"/>
              <w:spacing w:after="120" w:line="256" w:lineRule="auto"/>
              <w:ind w:left="993" w:hanging="993"/>
              <w:jc w:val="both"/>
              <w:rPr>
                <w:rFonts w:ascii="Arial" w:eastAsia="宋体" w:hAnsi="Arial" w:cs="Arial"/>
                <w:kern w:val="2"/>
                <w:lang w:val="en-GB" w:eastAsia="en-GB"/>
              </w:rPr>
            </w:pPr>
            <w:r w:rsidRPr="00420CD2">
              <w:rPr>
                <w:rFonts w:ascii="Arial" w:eastAsia="宋体" w:hAnsi="Arial" w:cs="Arial"/>
                <w:b/>
                <w:kern w:val="2"/>
                <w:lang w:val="en-GB" w:eastAsia="en-GB"/>
              </w:rPr>
              <w:t xml:space="preserve">ACTION: </w:t>
            </w:r>
            <w:r w:rsidRPr="00420CD2">
              <w:rPr>
                <w:rFonts w:ascii="Arial" w:eastAsia="宋体" w:hAnsi="Arial" w:cs="Arial"/>
                <w:kern w:val="2"/>
                <w:lang w:val="en-GB" w:eastAsia="en-GB"/>
              </w:rPr>
              <w:t>RAN2 kindly asks RAN WG1 to answer the above questions and provide feedback.</w:t>
            </w:r>
          </w:p>
        </w:tc>
      </w:tr>
    </w:tbl>
    <w:p w14:paraId="2F009530" w14:textId="77777777" w:rsidR="00420CD2" w:rsidRDefault="00420CD2" w:rsidP="00972490">
      <w:pPr>
        <w:spacing w:line="360" w:lineRule="auto"/>
        <w:jc w:val="both"/>
        <w:rPr>
          <w:rFonts w:eastAsia="宋体"/>
          <w:lang w:val="en-GB" w:eastAsia="zh-CN"/>
        </w:rPr>
      </w:pPr>
    </w:p>
    <w:p w14:paraId="63609333" w14:textId="3439EC93" w:rsidR="00F16A5F" w:rsidRDefault="00F16A5F" w:rsidP="00972490">
      <w:pPr>
        <w:spacing w:line="360" w:lineRule="auto"/>
        <w:jc w:val="both"/>
        <w:rPr>
          <w:rFonts w:eastAsia="宋体"/>
          <w:lang w:val="en-GB" w:eastAsia="zh-CN"/>
        </w:rPr>
      </w:pPr>
      <w:r>
        <w:rPr>
          <w:rFonts w:eastAsia="宋体"/>
          <w:lang w:val="en-GB" w:eastAsia="zh-CN"/>
        </w:rPr>
        <w:t>Interestingly, when review the past agreement from RAN1, there were two agreements related</w:t>
      </w:r>
    </w:p>
    <w:tbl>
      <w:tblPr>
        <w:tblStyle w:val="TableGrid"/>
        <w:tblW w:w="0" w:type="auto"/>
        <w:tblLook w:val="04A0" w:firstRow="1" w:lastRow="0" w:firstColumn="1" w:lastColumn="0" w:noHBand="0" w:noVBand="1"/>
      </w:tblPr>
      <w:tblGrid>
        <w:gridCol w:w="9628"/>
      </w:tblGrid>
      <w:tr w:rsidR="00F16A5F" w14:paraId="238430D6" w14:textId="77777777" w:rsidTr="00F16A5F">
        <w:tc>
          <w:tcPr>
            <w:tcW w:w="9628" w:type="dxa"/>
          </w:tcPr>
          <w:p w14:paraId="5C6096B1" w14:textId="581BA59D" w:rsidR="00F16A5F" w:rsidRPr="00126EBA" w:rsidRDefault="00F16A5F" w:rsidP="00F16A5F">
            <w:pPr>
              <w:rPr>
                <w:bCs/>
                <w:lang w:eastAsia="ja-JP"/>
              </w:rPr>
            </w:pPr>
            <w:r w:rsidRPr="00126EBA">
              <w:rPr>
                <w:bCs/>
                <w:highlight w:val="green"/>
                <w:lang w:eastAsia="ja-JP"/>
              </w:rPr>
              <w:t>Agreemen</w:t>
            </w:r>
            <w:r>
              <w:rPr>
                <w:bCs/>
                <w:highlight w:val="green"/>
                <w:lang w:eastAsia="ja-JP"/>
              </w:rPr>
              <w:t>t from RAN1#114</w:t>
            </w:r>
          </w:p>
          <w:p w14:paraId="0081DC0C" w14:textId="77777777" w:rsidR="00F16A5F" w:rsidRPr="00C07E0A" w:rsidRDefault="00F16A5F" w:rsidP="00F16A5F">
            <w:pPr>
              <w:rPr>
                <w:lang w:eastAsia="x-none"/>
              </w:rPr>
            </w:pPr>
            <w:r w:rsidRPr="00C07E0A">
              <w:rPr>
                <w:lang w:eastAsia="x-none"/>
              </w:rPr>
              <w:t>The UL time window for UL SRS for positioning with Tx hopping can be configured to be periodic with configurable starting SFN, slot and symbol number, periodicity, duration</w:t>
            </w:r>
          </w:p>
          <w:p w14:paraId="10E36060" w14:textId="77777777" w:rsidR="00F16A5F" w:rsidRPr="00C07E0A" w:rsidRDefault="00F16A5F" w:rsidP="00F16A5F">
            <w:pPr>
              <w:pStyle w:val="ListParagraph"/>
              <w:numPr>
                <w:ilvl w:val="0"/>
                <w:numId w:val="41"/>
              </w:numPr>
              <w:overflowPunct w:val="0"/>
              <w:autoSpaceDE w:val="0"/>
              <w:autoSpaceDN w:val="0"/>
              <w:adjustRightInd w:val="0"/>
              <w:spacing w:after="0"/>
              <w:ind w:leftChars="0"/>
              <w:contextualSpacing/>
              <w:textAlignment w:val="baseline"/>
              <w:rPr>
                <w:rFonts w:eastAsia="Yu Mincho"/>
                <w:bCs/>
                <w:lang w:eastAsia="ja-JP"/>
              </w:rPr>
            </w:pPr>
            <w:r w:rsidRPr="00C07E0A">
              <w:rPr>
                <w:rFonts w:eastAsia="Yu Mincho"/>
                <w:bCs/>
                <w:lang w:eastAsia="ja-JP"/>
              </w:rPr>
              <w:t>FFS values for starting SFN, slot and symbol number, periodicity and duration</w:t>
            </w:r>
          </w:p>
          <w:p w14:paraId="698FCC76" w14:textId="77777777" w:rsidR="00F16A5F" w:rsidRDefault="00F16A5F" w:rsidP="00972490">
            <w:pPr>
              <w:spacing w:line="360" w:lineRule="auto"/>
              <w:jc w:val="both"/>
              <w:rPr>
                <w:rFonts w:eastAsia="宋体"/>
                <w:lang w:eastAsia="zh-CN"/>
              </w:rPr>
            </w:pPr>
          </w:p>
          <w:p w14:paraId="4CA3B2B8" w14:textId="1C3B2A36" w:rsidR="00F16A5F" w:rsidRDefault="00F16A5F" w:rsidP="00F16A5F">
            <w:pPr>
              <w:rPr>
                <w:lang w:eastAsia="x-none"/>
              </w:rPr>
            </w:pPr>
            <w:r w:rsidRPr="00194F82">
              <w:rPr>
                <w:highlight w:val="green"/>
                <w:lang w:eastAsia="x-none"/>
              </w:rPr>
              <w:t>Agreemen</w:t>
            </w:r>
            <w:r>
              <w:rPr>
                <w:highlight w:val="green"/>
                <w:lang w:eastAsia="x-none"/>
              </w:rPr>
              <w:t>t from RAN1#114bis</w:t>
            </w:r>
          </w:p>
          <w:p w14:paraId="3F0C0D3E" w14:textId="77777777" w:rsidR="00F16A5F" w:rsidRPr="00AB6E52" w:rsidRDefault="00F16A5F" w:rsidP="00F16A5F">
            <w:pPr>
              <w:contextualSpacing/>
              <w:jc w:val="both"/>
              <w:rPr>
                <w:bCs/>
              </w:rPr>
            </w:pPr>
            <w:r w:rsidRPr="00AB6E52">
              <w:rPr>
                <w:bCs/>
              </w:rPr>
              <w:t>With regards to the configuration of the UTW:</w:t>
            </w:r>
          </w:p>
          <w:p w14:paraId="4C64D98A" w14:textId="77777777" w:rsidR="00F16A5F" w:rsidRPr="00AB6E52" w:rsidRDefault="00F16A5F" w:rsidP="00F16A5F">
            <w:pPr>
              <w:pStyle w:val="ListParagraph"/>
              <w:numPr>
                <w:ilvl w:val="0"/>
                <w:numId w:val="41"/>
              </w:numPr>
              <w:overflowPunct w:val="0"/>
              <w:autoSpaceDE w:val="0"/>
              <w:autoSpaceDN w:val="0"/>
              <w:adjustRightInd w:val="0"/>
              <w:spacing w:after="0"/>
              <w:ind w:leftChars="0"/>
              <w:contextualSpacing/>
              <w:textAlignment w:val="baseline"/>
              <w:rPr>
                <w:bCs/>
              </w:rPr>
            </w:pPr>
            <w:r w:rsidRPr="00AB6E52">
              <w:rPr>
                <w:bCs/>
                <w:lang w:eastAsia="ja-JP"/>
              </w:rPr>
              <w:t xml:space="preserve">the window parameters for periodicity and starting slot offset have the same candidate values as the periodicity and starting slot offset parameters for the SRS for positioning in the IE </w:t>
            </w:r>
            <w:proofErr w:type="spellStart"/>
            <w:r w:rsidRPr="00AB6E52">
              <w:rPr>
                <w:bCs/>
                <w:i/>
                <w:iCs/>
              </w:rPr>
              <w:t>PeriodicityAndOffset</w:t>
            </w:r>
            <w:proofErr w:type="spellEnd"/>
            <w:r w:rsidRPr="00AB6E52">
              <w:rPr>
                <w:bCs/>
              </w:rPr>
              <w:t> </w:t>
            </w:r>
          </w:p>
          <w:p w14:paraId="1C1D1A3C" w14:textId="7133FC20" w:rsidR="00F16A5F" w:rsidRPr="00F16A5F" w:rsidRDefault="00F16A5F" w:rsidP="00F16A5F">
            <w:pPr>
              <w:pStyle w:val="ListParagraph"/>
              <w:numPr>
                <w:ilvl w:val="0"/>
                <w:numId w:val="41"/>
              </w:numPr>
              <w:overflowPunct w:val="0"/>
              <w:autoSpaceDE w:val="0"/>
              <w:autoSpaceDN w:val="0"/>
              <w:adjustRightInd w:val="0"/>
              <w:spacing w:after="0"/>
              <w:ind w:leftChars="0"/>
              <w:contextualSpacing/>
              <w:textAlignment w:val="baseline"/>
              <w:rPr>
                <w:bCs/>
              </w:rPr>
            </w:pPr>
            <w:r w:rsidRPr="00AB6E52">
              <w:rPr>
                <w:bCs/>
              </w:rPr>
              <w:t>the duration of the window in slot is {1,2,4,6} slots</w:t>
            </w:r>
          </w:p>
        </w:tc>
      </w:tr>
    </w:tbl>
    <w:p w14:paraId="3DD26CD4" w14:textId="77777777" w:rsidR="00F16A5F" w:rsidRPr="00F16A5F" w:rsidRDefault="00F16A5F" w:rsidP="00972490">
      <w:pPr>
        <w:spacing w:line="360" w:lineRule="auto"/>
        <w:jc w:val="both"/>
        <w:rPr>
          <w:rFonts w:eastAsia="宋体"/>
          <w:lang w:val="en-GB" w:eastAsia="zh-CN"/>
        </w:rPr>
      </w:pPr>
    </w:p>
    <w:p w14:paraId="4F761C40" w14:textId="77777777" w:rsidR="00972119" w:rsidRDefault="00972119" w:rsidP="00972490">
      <w:pPr>
        <w:spacing w:line="360" w:lineRule="auto"/>
        <w:jc w:val="both"/>
        <w:rPr>
          <w:rFonts w:eastAsia="宋体"/>
          <w:lang w:val="en-GB" w:eastAsia="zh-CN"/>
        </w:rPr>
      </w:pPr>
      <w:proofErr w:type="gramStart"/>
      <w:r>
        <w:rPr>
          <w:rFonts w:eastAsia="宋体"/>
          <w:lang w:val="en-GB" w:eastAsia="zh-CN"/>
        </w:rPr>
        <w:lastRenderedPageBreak/>
        <w:t>So</w:t>
      </w:r>
      <w:proofErr w:type="gramEnd"/>
      <w:r>
        <w:rPr>
          <w:rFonts w:eastAsia="宋体"/>
          <w:lang w:val="en-GB" w:eastAsia="zh-CN"/>
        </w:rPr>
        <w:t xml:space="preserve"> by procedure wise, since RAN1 already agreed to support “</w:t>
      </w:r>
      <w:r w:rsidRPr="00C07E0A">
        <w:rPr>
          <w:lang w:eastAsia="x-none"/>
        </w:rPr>
        <w:t>configurable starting SFN</w:t>
      </w:r>
      <w:r>
        <w:rPr>
          <w:rFonts w:eastAsia="宋体"/>
          <w:lang w:val="en-GB" w:eastAsia="zh-CN"/>
        </w:rPr>
        <w:t xml:space="preserve">”, so the answer to Q1 is Yes. </w:t>
      </w:r>
    </w:p>
    <w:p w14:paraId="7E75637A" w14:textId="6647DC63" w:rsidR="00F16A5F" w:rsidRDefault="00972119" w:rsidP="00972490">
      <w:pPr>
        <w:spacing w:line="360" w:lineRule="auto"/>
        <w:jc w:val="both"/>
        <w:rPr>
          <w:rFonts w:eastAsia="宋体"/>
          <w:lang w:val="en-GB" w:eastAsia="zh-CN"/>
        </w:rPr>
      </w:pPr>
      <w:r>
        <w:rPr>
          <w:rFonts w:eastAsia="宋体"/>
          <w:lang w:val="en-GB" w:eastAsia="zh-CN"/>
        </w:rPr>
        <w:t xml:space="preserve">Regarding the usage of such parameter, it should be straightforward that it indicates the which SFN the window is started. One potential ambiguity could be that if someone follows the SRS configuration and its usage of </w:t>
      </w:r>
      <w:proofErr w:type="spellStart"/>
      <w:proofErr w:type="gramStart"/>
      <w:r w:rsidRPr="00AB6E52">
        <w:rPr>
          <w:bCs/>
          <w:i/>
          <w:iCs/>
        </w:rPr>
        <w:t>PeriodicityAndOffset</w:t>
      </w:r>
      <w:proofErr w:type="spellEnd"/>
      <w:r w:rsidRPr="00AB6E52">
        <w:rPr>
          <w:bCs/>
        </w:rPr>
        <w:t> </w:t>
      </w:r>
      <w:r>
        <w:rPr>
          <w:bCs/>
        </w:rPr>
        <w:t>,</w:t>
      </w:r>
      <w:proofErr w:type="gramEnd"/>
      <w:r>
        <w:rPr>
          <w:bCs/>
        </w:rPr>
        <w:t xml:space="preserve"> it will get the SFN 0 as the natural start. But we see this is the different from exact SRS resource, the candidate value of SRS configuration is reused but it did not mean the</w:t>
      </w:r>
      <w:r w:rsidR="00764B63">
        <w:rPr>
          <w:bCs/>
        </w:rPr>
        <w:t xml:space="preserve"> start of UTW should be the same. </w:t>
      </w:r>
      <w:r>
        <w:rPr>
          <w:rFonts w:eastAsia="宋体"/>
          <w:lang w:val="en-GB" w:eastAsia="zh-CN"/>
        </w:rPr>
        <w:t xml:space="preserve">  </w:t>
      </w:r>
    </w:p>
    <w:p w14:paraId="24F38B1F" w14:textId="1B243553" w:rsidR="00972490" w:rsidRPr="00972490" w:rsidRDefault="003D73A9" w:rsidP="00972490">
      <w:pPr>
        <w:spacing w:line="360" w:lineRule="auto"/>
        <w:jc w:val="both"/>
        <w:rPr>
          <w:rFonts w:eastAsia="宋体"/>
          <w:lang w:val="en-GB" w:eastAsia="zh-CN"/>
        </w:rPr>
      </w:pPr>
      <w:proofErr w:type="gramStart"/>
      <w:r>
        <w:rPr>
          <w:rFonts w:eastAsia="宋体"/>
          <w:lang w:val="en-GB" w:eastAsia="zh-CN"/>
        </w:rPr>
        <w:t>So</w:t>
      </w:r>
      <w:proofErr w:type="gramEnd"/>
      <w:r>
        <w:rPr>
          <w:rFonts w:eastAsia="宋体"/>
          <w:lang w:val="en-GB" w:eastAsia="zh-CN"/>
        </w:rPr>
        <w:t xml:space="preserve"> the answers to the two question are in following proposal:</w:t>
      </w:r>
    </w:p>
    <w:p w14:paraId="7A881659" w14:textId="57DCECAE" w:rsidR="003D73A9" w:rsidRDefault="006D73AF" w:rsidP="000C4CA1">
      <w:pPr>
        <w:spacing w:beforeLines="50" w:before="120" w:after="0"/>
        <w:jc w:val="both"/>
        <w:rPr>
          <w:b/>
          <w:lang w:val="en-GB" w:eastAsia="ko-KR"/>
        </w:rPr>
      </w:pPr>
      <w:r w:rsidRPr="006D73AF">
        <w:rPr>
          <w:b/>
          <w:lang w:val="en-GB" w:eastAsia="ko-KR"/>
        </w:rPr>
        <w:t xml:space="preserve">Proposal </w:t>
      </w:r>
      <w:r w:rsidR="00085F5B">
        <w:rPr>
          <w:b/>
          <w:lang w:val="en-GB" w:eastAsia="ko-KR"/>
        </w:rPr>
        <w:t>1</w:t>
      </w:r>
      <w:r w:rsidRPr="006D73AF">
        <w:rPr>
          <w:b/>
          <w:lang w:val="en-GB" w:eastAsia="ko-KR"/>
        </w:rPr>
        <w:t xml:space="preserve">: </w:t>
      </w:r>
      <w:r w:rsidR="00085F5B">
        <w:rPr>
          <w:b/>
          <w:lang w:val="en-GB" w:eastAsia="ko-KR"/>
        </w:rPr>
        <w:t xml:space="preserve">RAN1 </w:t>
      </w:r>
      <w:r w:rsidR="003D73A9">
        <w:rPr>
          <w:b/>
          <w:lang w:val="en-GB" w:eastAsia="ko-KR"/>
        </w:rPr>
        <w:t>adopts following answers to RAN2 LS questions and feedback to RAN2:</w:t>
      </w:r>
    </w:p>
    <w:p w14:paraId="7B6E7267" w14:textId="2C399883" w:rsidR="003D73A9" w:rsidRDefault="003D73A9" w:rsidP="000C4CA1">
      <w:pPr>
        <w:spacing w:beforeLines="50" w:before="120" w:after="0"/>
        <w:rPr>
          <w:rFonts w:ascii="Arial" w:eastAsia="Calibri" w:hAnsi="Arial" w:cs="Arial"/>
          <w:lang w:val="en-GB" w:eastAsia="en-GB"/>
        </w:rPr>
      </w:pPr>
      <w:r w:rsidRPr="00420CD2">
        <w:rPr>
          <w:rFonts w:ascii="Arial" w:eastAsia="Calibri" w:hAnsi="Arial" w:cs="Arial"/>
          <w:lang w:val="en-GB" w:eastAsia="en-GB"/>
        </w:rPr>
        <w:t xml:space="preserve">Q1: Is the parameter </w:t>
      </w:r>
      <w:proofErr w:type="spellStart"/>
      <w:r w:rsidRPr="00420CD2">
        <w:rPr>
          <w:rFonts w:ascii="Arial" w:eastAsia="Calibri" w:hAnsi="Arial" w:cs="Arial"/>
          <w:i/>
          <w:lang w:val="en-GB" w:eastAsia="en-GB"/>
        </w:rPr>
        <w:t>startSFN</w:t>
      </w:r>
      <w:proofErr w:type="spellEnd"/>
      <w:r w:rsidRPr="00420CD2">
        <w:rPr>
          <w:rFonts w:ascii="Arial" w:eastAsia="Calibri" w:hAnsi="Arial" w:cs="Arial"/>
          <w:lang w:val="en-GB" w:eastAsia="en-GB"/>
        </w:rPr>
        <w:t xml:space="preserve"> needed for the UTW?</w:t>
      </w:r>
    </w:p>
    <w:p w14:paraId="389CB6F4" w14:textId="520C06A4" w:rsidR="003D73A9" w:rsidRPr="003D73A9" w:rsidRDefault="003D73A9" w:rsidP="000C4CA1">
      <w:pPr>
        <w:spacing w:beforeLines="50" w:before="120" w:after="0"/>
        <w:rPr>
          <w:rFonts w:ascii="Arial" w:eastAsia="宋体" w:hAnsi="Arial" w:cs="Arial"/>
          <w:lang w:val="en-GB" w:eastAsia="zh-CN"/>
        </w:rPr>
      </w:pPr>
      <w:r>
        <w:rPr>
          <w:rFonts w:ascii="Arial" w:eastAsia="宋体" w:hAnsi="Arial" w:cs="Arial" w:hint="eastAsia"/>
          <w:lang w:val="en-GB" w:eastAsia="zh-CN"/>
        </w:rPr>
        <w:t>A</w:t>
      </w:r>
      <w:r>
        <w:rPr>
          <w:rFonts w:ascii="Arial" w:eastAsia="宋体" w:hAnsi="Arial" w:cs="Arial"/>
          <w:lang w:val="en-GB" w:eastAsia="zh-CN"/>
        </w:rPr>
        <w:t>: yes.</w:t>
      </w:r>
    </w:p>
    <w:p w14:paraId="5727C83C" w14:textId="77777777" w:rsidR="003D73A9" w:rsidRPr="00420CD2" w:rsidRDefault="003D73A9" w:rsidP="000C4CA1">
      <w:pPr>
        <w:spacing w:beforeLines="50" w:before="120" w:after="0"/>
        <w:rPr>
          <w:rFonts w:ascii="Arial" w:eastAsia="Calibri" w:hAnsi="Arial" w:cs="Arial"/>
          <w:lang w:val="en-GB" w:eastAsia="en-GB"/>
        </w:rPr>
      </w:pPr>
      <w:r w:rsidRPr="00420CD2">
        <w:rPr>
          <w:rFonts w:ascii="Arial" w:eastAsia="Calibri" w:hAnsi="Arial" w:cs="Arial"/>
          <w:lang w:val="en-GB" w:eastAsia="en-GB"/>
        </w:rPr>
        <w:t>Q2: If answer to Q1 is ‘yes’, how this parameter should be interpreted?</w:t>
      </w:r>
    </w:p>
    <w:p w14:paraId="5170BF3A" w14:textId="7A345A3C" w:rsidR="003D73A9" w:rsidRPr="003D73A9" w:rsidRDefault="003D73A9" w:rsidP="000C4CA1">
      <w:pPr>
        <w:spacing w:beforeLines="50" w:before="120" w:after="0"/>
        <w:rPr>
          <w:rFonts w:ascii="Arial" w:eastAsia="宋体" w:hAnsi="Arial" w:cs="Arial"/>
          <w:lang w:val="en-GB" w:eastAsia="zh-CN"/>
        </w:rPr>
      </w:pPr>
      <w:r w:rsidRPr="003D73A9">
        <w:rPr>
          <w:rFonts w:ascii="Arial" w:eastAsia="宋体" w:hAnsi="Arial" w:cs="Arial" w:hint="eastAsia"/>
          <w:lang w:val="en-GB" w:eastAsia="zh-CN"/>
        </w:rPr>
        <w:t>A</w:t>
      </w:r>
      <w:r w:rsidRPr="003D73A9">
        <w:rPr>
          <w:rFonts w:ascii="Arial" w:eastAsia="宋体" w:hAnsi="Arial" w:cs="Arial"/>
          <w:lang w:val="en-GB" w:eastAsia="zh-CN"/>
        </w:rPr>
        <w:t>: such parameter indicates that starting from which SFN the determination/derivation of the UTW will conducted.</w:t>
      </w:r>
    </w:p>
    <w:p w14:paraId="0DC05BA9" w14:textId="46B8C3C3" w:rsidR="00DA1B1A" w:rsidRPr="00EF1E6D"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EF1E6D">
        <w:rPr>
          <w:szCs w:val="20"/>
          <w:lang w:val="en-US"/>
        </w:rPr>
        <w:t>Conclusion</w:t>
      </w:r>
    </w:p>
    <w:p w14:paraId="301EE7DF" w14:textId="36616F2B" w:rsidR="00AA115C" w:rsidRDefault="001C493E" w:rsidP="00AA115C">
      <w:pPr>
        <w:rPr>
          <w:lang w:eastAsia="ko-KR"/>
        </w:rPr>
      </w:pPr>
      <w:r>
        <w:rPr>
          <w:lang w:eastAsia="ko-KR"/>
        </w:rPr>
        <w:t xml:space="preserve">The contribution discusses </w:t>
      </w:r>
      <w:r w:rsidR="00085F5B">
        <w:rPr>
          <w:lang w:eastAsia="zh-CN"/>
        </w:rPr>
        <w:t>the time period determination</w:t>
      </w:r>
      <w:r w:rsidR="00F72F08">
        <w:t>,</w:t>
      </w:r>
      <w:r w:rsidR="005C6E1E">
        <w:rPr>
          <w:lang w:eastAsia="ko-KR"/>
        </w:rPr>
        <w:t xml:space="preserve"> </w:t>
      </w:r>
      <w:r>
        <w:rPr>
          <w:lang w:eastAsia="ko-KR"/>
        </w:rPr>
        <w:t>and the proposal</w:t>
      </w:r>
      <w:r w:rsidR="00085F5B">
        <w:rPr>
          <w:lang w:eastAsia="ko-KR"/>
        </w:rPr>
        <w:t xml:space="preserve"> is </w:t>
      </w:r>
      <w:r>
        <w:rPr>
          <w:lang w:eastAsia="ko-KR"/>
        </w:rPr>
        <w:t>summarized below.</w:t>
      </w:r>
    </w:p>
    <w:p w14:paraId="3A01A188" w14:textId="77777777" w:rsidR="000C4CA1" w:rsidRDefault="000C4CA1" w:rsidP="000C4CA1">
      <w:pPr>
        <w:spacing w:beforeLines="50" w:before="120" w:after="0"/>
        <w:jc w:val="both"/>
        <w:rPr>
          <w:b/>
          <w:lang w:val="en-GB" w:eastAsia="ko-KR"/>
        </w:rPr>
      </w:pPr>
      <w:r w:rsidRPr="006D73AF">
        <w:rPr>
          <w:b/>
          <w:lang w:val="en-GB" w:eastAsia="ko-KR"/>
        </w:rPr>
        <w:t xml:space="preserve">Proposal </w:t>
      </w:r>
      <w:r>
        <w:rPr>
          <w:b/>
          <w:lang w:val="en-GB" w:eastAsia="ko-KR"/>
        </w:rPr>
        <w:t>1</w:t>
      </w:r>
      <w:r w:rsidRPr="006D73AF">
        <w:rPr>
          <w:b/>
          <w:lang w:val="en-GB" w:eastAsia="ko-KR"/>
        </w:rPr>
        <w:t xml:space="preserve">: </w:t>
      </w:r>
      <w:r>
        <w:rPr>
          <w:b/>
          <w:lang w:val="en-GB" w:eastAsia="ko-KR"/>
        </w:rPr>
        <w:t>RAN1 adopts following answers to RAN2 LS questions and feedback to RAN2:</w:t>
      </w:r>
    </w:p>
    <w:p w14:paraId="6B9EAD9A" w14:textId="77777777" w:rsidR="000C4CA1" w:rsidRDefault="000C4CA1" w:rsidP="000C4CA1">
      <w:pPr>
        <w:spacing w:beforeLines="50" w:before="120" w:after="0"/>
        <w:rPr>
          <w:rFonts w:ascii="Arial" w:eastAsia="Calibri" w:hAnsi="Arial" w:cs="Arial"/>
          <w:lang w:val="en-GB" w:eastAsia="en-GB"/>
        </w:rPr>
      </w:pPr>
      <w:r w:rsidRPr="00420CD2">
        <w:rPr>
          <w:rFonts w:ascii="Arial" w:eastAsia="Calibri" w:hAnsi="Arial" w:cs="Arial"/>
          <w:lang w:val="en-GB" w:eastAsia="en-GB"/>
        </w:rPr>
        <w:t xml:space="preserve">Q1: Is the parameter </w:t>
      </w:r>
      <w:proofErr w:type="spellStart"/>
      <w:r w:rsidRPr="00420CD2">
        <w:rPr>
          <w:rFonts w:ascii="Arial" w:eastAsia="Calibri" w:hAnsi="Arial" w:cs="Arial"/>
          <w:i/>
          <w:lang w:val="en-GB" w:eastAsia="en-GB"/>
        </w:rPr>
        <w:t>startSFN</w:t>
      </w:r>
      <w:proofErr w:type="spellEnd"/>
      <w:r w:rsidRPr="00420CD2">
        <w:rPr>
          <w:rFonts w:ascii="Arial" w:eastAsia="Calibri" w:hAnsi="Arial" w:cs="Arial"/>
          <w:lang w:val="en-GB" w:eastAsia="en-GB"/>
        </w:rPr>
        <w:t xml:space="preserve"> needed for the UTW?</w:t>
      </w:r>
    </w:p>
    <w:p w14:paraId="4176ECEC" w14:textId="77777777" w:rsidR="000C4CA1" w:rsidRPr="003D73A9" w:rsidRDefault="000C4CA1" w:rsidP="000C4CA1">
      <w:pPr>
        <w:spacing w:beforeLines="50" w:before="120" w:after="0"/>
        <w:rPr>
          <w:rFonts w:ascii="Arial" w:eastAsia="宋体" w:hAnsi="Arial" w:cs="Arial"/>
          <w:lang w:val="en-GB" w:eastAsia="zh-CN"/>
        </w:rPr>
      </w:pPr>
      <w:r>
        <w:rPr>
          <w:rFonts w:ascii="Arial" w:eastAsia="宋体" w:hAnsi="Arial" w:cs="Arial" w:hint="eastAsia"/>
          <w:lang w:val="en-GB" w:eastAsia="zh-CN"/>
        </w:rPr>
        <w:t>A</w:t>
      </w:r>
      <w:r>
        <w:rPr>
          <w:rFonts w:ascii="Arial" w:eastAsia="宋体" w:hAnsi="Arial" w:cs="Arial"/>
          <w:lang w:val="en-GB" w:eastAsia="zh-CN"/>
        </w:rPr>
        <w:t>: yes.</w:t>
      </w:r>
    </w:p>
    <w:p w14:paraId="0A6BFCDE" w14:textId="77777777" w:rsidR="000C4CA1" w:rsidRPr="00420CD2" w:rsidRDefault="000C4CA1" w:rsidP="000C4CA1">
      <w:pPr>
        <w:spacing w:beforeLines="50" w:before="120" w:after="0"/>
        <w:rPr>
          <w:rFonts w:ascii="Arial" w:eastAsia="Calibri" w:hAnsi="Arial" w:cs="Arial"/>
          <w:lang w:val="en-GB" w:eastAsia="en-GB"/>
        </w:rPr>
      </w:pPr>
      <w:r w:rsidRPr="00420CD2">
        <w:rPr>
          <w:rFonts w:ascii="Arial" w:eastAsia="Calibri" w:hAnsi="Arial" w:cs="Arial"/>
          <w:lang w:val="en-GB" w:eastAsia="en-GB"/>
        </w:rPr>
        <w:t>Q2: If answer to Q1 is ‘yes’, how this parameter should be interpreted?</w:t>
      </w:r>
    </w:p>
    <w:p w14:paraId="6BD09009" w14:textId="77777777" w:rsidR="000C4CA1" w:rsidRPr="003D73A9" w:rsidRDefault="000C4CA1" w:rsidP="000C4CA1">
      <w:pPr>
        <w:spacing w:beforeLines="50" w:before="120" w:after="0"/>
        <w:rPr>
          <w:rFonts w:ascii="Arial" w:eastAsia="宋体" w:hAnsi="Arial" w:cs="Arial"/>
          <w:lang w:val="en-GB" w:eastAsia="zh-CN"/>
        </w:rPr>
      </w:pPr>
      <w:r w:rsidRPr="003D73A9">
        <w:rPr>
          <w:rFonts w:ascii="Arial" w:eastAsia="宋体" w:hAnsi="Arial" w:cs="Arial" w:hint="eastAsia"/>
          <w:lang w:val="en-GB" w:eastAsia="zh-CN"/>
        </w:rPr>
        <w:t>A</w:t>
      </w:r>
      <w:r w:rsidRPr="003D73A9">
        <w:rPr>
          <w:rFonts w:ascii="Arial" w:eastAsia="宋体" w:hAnsi="Arial" w:cs="Arial"/>
          <w:lang w:val="en-GB" w:eastAsia="zh-CN"/>
        </w:rPr>
        <w:t>: such parameter indicates that starting from which SFN the determination/derivation of the UTW will conducted.</w:t>
      </w:r>
    </w:p>
    <w:p w14:paraId="5E9DF80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0D54D5BE" w14:textId="123B231C" w:rsidR="00F55556" w:rsidRPr="003D73A9" w:rsidRDefault="003D73A9" w:rsidP="003D73A9">
      <w:pPr>
        <w:pStyle w:val="References"/>
        <w:numPr>
          <w:ilvl w:val="0"/>
          <w:numId w:val="11"/>
        </w:numPr>
        <w:spacing w:after="120"/>
        <w:ind w:left="357" w:hanging="357"/>
        <w:jc w:val="both"/>
        <w:rPr>
          <w:rFonts w:eastAsia="宋体"/>
          <w:lang w:eastAsia="zh-CN"/>
        </w:rPr>
      </w:pPr>
      <w:bookmarkStart w:id="2" w:name="_Ref127187425"/>
      <w:r w:rsidRPr="003D73A9">
        <w:rPr>
          <w:rFonts w:eastAsia="宋体"/>
          <w:lang w:eastAsia="zh-CN"/>
        </w:rPr>
        <w:t>R1-2503206</w:t>
      </w:r>
      <w:r w:rsidR="00ED14AD" w:rsidRPr="00ED14AD">
        <w:rPr>
          <w:rFonts w:eastAsia="宋体"/>
          <w:lang w:eastAsia="zh-CN"/>
        </w:rPr>
        <w:t xml:space="preserve">, </w:t>
      </w:r>
      <w:r w:rsidR="00ED14AD">
        <w:rPr>
          <w:rFonts w:eastAsia="宋体"/>
          <w:lang w:eastAsia="zh-CN"/>
        </w:rPr>
        <w:t>“</w:t>
      </w:r>
      <w:r w:rsidRPr="003D73A9">
        <w:rPr>
          <w:rFonts w:eastAsia="宋体"/>
          <w:lang w:eastAsia="zh-CN"/>
        </w:rPr>
        <w:t xml:space="preserve">LS on the </w:t>
      </w:r>
      <w:proofErr w:type="spellStart"/>
      <w:r w:rsidRPr="003D73A9">
        <w:rPr>
          <w:rFonts w:eastAsia="宋体"/>
          <w:lang w:eastAsia="zh-CN"/>
        </w:rPr>
        <w:t>startSFN</w:t>
      </w:r>
      <w:proofErr w:type="spellEnd"/>
      <w:r w:rsidRPr="003D73A9">
        <w:rPr>
          <w:rFonts w:eastAsia="宋体"/>
          <w:lang w:eastAsia="zh-CN"/>
        </w:rPr>
        <w:t xml:space="preserve"> parameter for positioning SRS with TX frequency hopping</w:t>
      </w:r>
      <w:r w:rsidR="00ED14AD">
        <w:rPr>
          <w:rFonts w:eastAsia="宋体"/>
          <w:lang w:eastAsia="zh-CN"/>
        </w:rPr>
        <w:t>”</w:t>
      </w:r>
      <w:bookmarkEnd w:id="2"/>
      <w:r w:rsidR="003778BB">
        <w:rPr>
          <w:rFonts w:eastAsia="宋体" w:hint="eastAsia"/>
          <w:lang w:eastAsia="zh-CN"/>
        </w:rPr>
        <w:t>,</w:t>
      </w:r>
      <w:r w:rsidR="003778BB">
        <w:rPr>
          <w:rFonts w:eastAsia="宋体"/>
          <w:lang w:eastAsia="zh-CN"/>
        </w:rPr>
        <w:t xml:space="preserve"> </w:t>
      </w:r>
      <w:r w:rsidR="003778BB" w:rsidRPr="003778BB">
        <w:rPr>
          <w:rFonts w:eastAsia="宋体"/>
          <w:lang w:eastAsia="zh-CN"/>
        </w:rPr>
        <w:t>3GPP TSG RAN WG1 Meeting #1</w:t>
      </w:r>
      <w:r w:rsidR="00AF4F72">
        <w:rPr>
          <w:rFonts w:eastAsia="宋体"/>
          <w:lang w:eastAsia="zh-CN"/>
        </w:rPr>
        <w:t>22</w:t>
      </w:r>
      <w:r w:rsidR="003778BB" w:rsidRPr="003778BB">
        <w:rPr>
          <w:rFonts w:eastAsia="宋体"/>
          <w:lang w:eastAsia="zh-CN"/>
        </w:rPr>
        <w:t>-bis</w:t>
      </w:r>
      <w:r w:rsidR="003778BB">
        <w:rPr>
          <w:rFonts w:eastAsia="宋体"/>
          <w:lang w:eastAsia="zh-CN"/>
        </w:rPr>
        <w:t xml:space="preserve">, </w:t>
      </w:r>
      <w:r w:rsidR="00AF4F72">
        <w:rPr>
          <w:rFonts w:eastAsia="宋体"/>
          <w:lang w:eastAsia="zh-CN"/>
        </w:rPr>
        <w:t>Malta</w:t>
      </w:r>
      <w:r w:rsidR="003778BB" w:rsidRPr="003778BB">
        <w:rPr>
          <w:rFonts w:eastAsia="宋体"/>
          <w:lang w:eastAsia="zh-CN"/>
        </w:rPr>
        <w:t xml:space="preserve">, </w:t>
      </w:r>
      <w:r w:rsidR="00AF4F72">
        <w:rPr>
          <w:rFonts w:eastAsia="宋体"/>
          <w:lang w:eastAsia="zh-CN"/>
        </w:rPr>
        <w:t>May</w:t>
      </w:r>
      <w:r w:rsidR="003778BB" w:rsidRPr="003778BB">
        <w:rPr>
          <w:rFonts w:eastAsia="宋体"/>
          <w:lang w:eastAsia="zh-CN"/>
        </w:rPr>
        <w:t xml:space="preserve"> </w:t>
      </w:r>
      <w:r w:rsidR="00AF4F72">
        <w:rPr>
          <w:rFonts w:eastAsia="宋体"/>
          <w:lang w:eastAsia="zh-CN"/>
        </w:rPr>
        <w:t>19</w:t>
      </w:r>
      <w:r w:rsidR="003778BB" w:rsidRPr="003778BB">
        <w:rPr>
          <w:rFonts w:eastAsia="宋体"/>
          <w:lang w:eastAsia="zh-CN"/>
        </w:rPr>
        <w:t xml:space="preserve">th – </w:t>
      </w:r>
      <w:r w:rsidR="00AF4F72">
        <w:rPr>
          <w:rFonts w:eastAsia="宋体"/>
          <w:lang w:eastAsia="zh-CN"/>
        </w:rPr>
        <w:t>23rd</w:t>
      </w:r>
      <w:r w:rsidR="003778BB" w:rsidRPr="003778BB">
        <w:rPr>
          <w:rFonts w:eastAsia="宋体"/>
          <w:lang w:eastAsia="zh-CN"/>
        </w:rPr>
        <w:t>, 202</w:t>
      </w:r>
      <w:r w:rsidR="00AF4F72">
        <w:rPr>
          <w:rFonts w:eastAsia="宋体"/>
          <w:lang w:eastAsia="zh-CN"/>
        </w:rPr>
        <w:t>5</w:t>
      </w:r>
    </w:p>
    <w:sectPr w:rsidR="00F55556" w:rsidRPr="003D73A9"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D8EC0" w14:textId="77777777" w:rsidR="009805A6" w:rsidRDefault="009805A6">
      <w:r>
        <w:separator/>
      </w:r>
    </w:p>
  </w:endnote>
  <w:endnote w:type="continuationSeparator" w:id="0">
    <w:p w14:paraId="6C5533FC" w14:textId="77777777" w:rsidR="009805A6" w:rsidRDefault="0098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EF205" w14:textId="77777777" w:rsidR="009805A6" w:rsidRDefault="009805A6">
      <w:r>
        <w:separator/>
      </w:r>
    </w:p>
  </w:footnote>
  <w:footnote w:type="continuationSeparator" w:id="0">
    <w:p w14:paraId="1EE7568A" w14:textId="77777777" w:rsidR="009805A6" w:rsidRDefault="00980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405018" w:rsidRDefault="0040501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C86B40"/>
    <w:multiLevelType w:val="hybridMultilevel"/>
    <w:tmpl w:val="6DAA8B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67D7A"/>
    <w:multiLevelType w:val="hybridMultilevel"/>
    <w:tmpl w:val="2220B0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641A4"/>
    <w:multiLevelType w:val="hybridMultilevel"/>
    <w:tmpl w:val="EDE06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35F99"/>
    <w:multiLevelType w:val="hybridMultilevel"/>
    <w:tmpl w:val="B2EE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FF46B1"/>
    <w:multiLevelType w:val="hybridMultilevel"/>
    <w:tmpl w:val="52781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31988"/>
    <w:multiLevelType w:val="hybridMultilevel"/>
    <w:tmpl w:val="6E787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4" w15:restartNumberingAfterBreak="0">
    <w:nsid w:val="66BA4B99"/>
    <w:multiLevelType w:val="hybridMultilevel"/>
    <w:tmpl w:val="EA58C9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6"/>
  </w:num>
  <w:num w:numId="4">
    <w:abstractNumId w:val="36"/>
  </w:num>
  <w:num w:numId="5">
    <w:abstractNumId w:val="24"/>
  </w:num>
  <w:num w:numId="6">
    <w:abstractNumId w:val="35"/>
  </w:num>
  <w:num w:numId="7">
    <w:abstractNumId w:val="12"/>
  </w:num>
  <w:num w:numId="8">
    <w:abstractNumId w:val="22"/>
  </w:num>
  <w:num w:numId="9">
    <w:abstractNumId w:val="9"/>
  </w:num>
  <w:num w:numId="10">
    <w:abstractNumId w:val="37"/>
  </w:num>
  <w:num w:numId="11">
    <w:abstractNumId w:val="8"/>
  </w:num>
  <w:num w:numId="12">
    <w:abstractNumId w:val="0"/>
  </w:num>
  <w:num w:numId="13">
    <w:abstractNumId w:val="39"/>
  </w:num>
  <w:num w:numId="14">
    <w:abstractNumId w:val="38"/>
  </w:num>
  <w:num w:numId="15">
    <w:abstractNumId w:val="4"/>
  </w:num>
  <w:num w:numId="16">
    <w:abstractNumId w:val="32"/>
  </w:num>
  <w:num w:numId="17">
    <w:abstractNumId w:val="5"/>
  </w:num>
  <w:num w:numId="18">
    <w:abstractNumId w:val="23"/>
  </w:num>
  <w:num w:numId="19">
    <w:abstractNumId w:val="1"/>
  </w:num>
  <w:num w:numId="20">
    <w:abstractNumId w:val="14"/>
  </w:num>
  <w:num w:numId="21">
    <w:abstractNumId w:val="7"/>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2">
    <w:abstractNumId w:val="27"/>
  </w:num>
  <w:num w:numId="23">
    <w:abstractNumId w:val="2"/>
  </w:num>
  <w:num w:numId="24">
    <w:abstractNumId w:val="19"/>
  </w:num>
  <w:num w:numId="25">
    <w:abstractNumId w:val="31"/>
  </w:num>
  <w:num w:numId="26">
    <w:abstractNumId w:val="34"/>
  </w:num>
  <w:num w:numId="27">
    <w:abstractNumId w:val="25"/>
  </w:num>
  <w:num w:numId="28">
    <w:abstractNumId w:val="10"/>
  </w:num>
  <w:num w:numId="29">
    <w:abstractNumId w:val="20"/>
  </w:num>
  <w:num w:numId="30">
    <w:abstractNumId w:val="17"/>
  </w:num>
  <w:num w:numId="31">
    <w:abstractNumId w:val="29"/>
  </w:num>
  <w:num w:numId="32">
    <w:abstractNumId w:val="3"/>
  </w:num>
  <w:num w:numId="33">
    <w:abstractNumId w:val="33"/>
  </w:num>
  <w:num w:numId="34">
    <w:abstractNumId w:val="30"/>
  </w:num>
  <w:num w:numId="35">
    <w:abstractNumId w:val="11"/>
  </w:num>
  <w:num w:numId="36">
    <w:abstractNumId w:val="18"/>
  </w:num>
  <w:num w:numId="37">
    <w:abstractNumId w:val="16"/>
  </w:num>
  <w:num w:numId="38">
    <w:abstractNumId w:val="15"/>
  </w:num>
  <w:num w:numId="39">
    <w:abstractNumId w:val="28"/>
  </w:num>
  <w:num w:numId="40">
    <w:abstractNumId w:val="6"/>
  </w:num>
  <w:num w:numId="41">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71D"/>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400"/>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4A1B"/>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20"/>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5F5B"/>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621"/>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4CA1"/>
    <w:rsid w:val="000C54C7"/>
    <w:rsid w:val="000C56CE"/>
    <w:rsid w:val="000C5859"/>
    <w:rsid w:val="000C5FD0"/>
    <w:rsid w:val="000C650F"/>
    <w:rsid w:val="000C66E2"/>
    <w:rsid w:val="000C6B7A"/>
    <w:rsid w:val="000C6FBE"/>
    <w:rsid w:val="000C7D54"/>
    <w:rsid w:val="000D0010"/>
    <w:rsid w:val="000D00DD"/>
    <w:rsid w:val="000D0AE1"/>
    <w:rsid w:val="000D0D1F"/>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66F"/>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E5B"/>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0F3"/>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56DC"/>
    <w:rsid w:val="00106079"/>
    <w:rsid w:val="00106085"/>
    <w:rsid w:val="001067FF"/>
    <w:rsid w:val="001069CE"/>
    <w:rsid w:val="00106C48"/>
    <w:rsid w:val="00106E00"/>
    <w:rsid w:val="00106EDB"/>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0BF"/>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91A"/>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3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4DC"/>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6A6"/>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1C"/>
    <w:rsid w:val="001E296E"/>
    <w:rsid w:val="001E2D6C"/>
    <w:rsid w:val="001E33A9"/>
    <w:rsid w:val="001E385D"/>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33B"/>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58AD"/>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BF8"/>
    <w:rsid w:val="00286C60"/>
    <w:rsid w:val="00286F3F"/>
    <w:rsid w:val="00287445"/>
    <w:rsid w:val="00287469"/>
    <w:rsid w:val="002875AC"/>
    <w:rsid w:val="002876DD"/>
    <w:rsid w:val="00287951"/>
    <w:rsid w:val="00287C21"/>
    <w:rsid w:val="00287F14"/>
    <w:rsid w:val="0029045A"/>
    <w:rsid w:val="002904E3"/>
    <w:rsid w:val="00290AEF"/>
    <w:rsid w:val="00290BE2"/>
    <w:rsid w:val="00291003"/>
    <w:rsid w:val="0029102D"/>
    <w:rsid w:val="00291961"/>
    <w:rsid w:val="00291985"/>
    <w:rsid w:val="00291BEA"/>
    <w:rsid w:val="0029296E"/>
    <w:rsid w:val="00293132"/>
    <w:rsid w:val="002934C7"/>
    <w:rsid w:val="002938B1"/>
    <w:rsid w:val="00293BA8"/>
    <w:rsid w:val="00293CAF"/>
    <w:rsid w:val="00293E1A"/>
    <w:rsid w:val="00293E6E"/>
    <w:rsid w:val="002941F0"/>
    <w:rsid w:val="00294508"/>
    <w:rsid w:val="002949CA"/>
    <w:rsid w:val="00294ABE"/>
    <w:rsid w:val="00294FAA"/>
    <w:rsid w:val="00295125"/>
    <w:rsid w:val="002953E0"/>
    <w:rsid w:val="002958FD"/>
    <w:rsid w:val="00295983"/>
    <w:rsid w:val="00295AEE"/>
    <w:rsid w:val="00295B0A"/>
    <w:rsid w:val="00295D94"/>
    <w:rsid w:val="00295DBA"/>
    <w:rsid w:val="00295F41"/>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2D2"/>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6B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0CFD"/>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40B"/>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0E99"/>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57"/>
    <w:rsid w:val="003773A4"/>
    <w:rsid w:val="003778BB"/>
    <w:rsid w:val="00377D5D"/>
    <w:rsid w:val="00380070"/>
    <w:rsid w:val="00380384"/>
    <w:rsid w:val="0038070A"/>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B93"/>
    <w:rsid w:val="00386D20"/>
    <w:rsid w:val="003877AE"/>
    <w:rsid w:val="0038796C"/>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137"/>
    <w:rsid w:val="003A267A"/>
    <w:rsid w:val="003A270B"/>
    <w:rsid w:val="003A2745"/>
    <w:rsid w:val="003A2B2D"/>
    <w:rsid w:val="003A3444"/>
    <w:rsid w:val="003A35A3"/>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1A0"/>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56D"/>
    <w:rsid w:val="003C3D90"/>
    <w:rsid w:val="003C426C"/>
    <w:rsid w:val="003C53D6"/>
    <w:rsid w:val="003C59C8"/>
    <w:rsid w:val="003C5A7F"/>
    <w:rsid w:val="003C5BAF"/>
    <w:rsid w:val="003C5ED0"/>
    <w:rsid w:val="003C6058"/>
    <w:rsid w:val="003C60DB"/>
    <w:rsid w:val="003C68C3"/>
    <w:rsid w:val="003C6D30"/>
    <w:rsid w:val="003C73BB"/>
    <w:rsid w:val="003C748B"/>
    <w:rsid w:val="003C74EE"/>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3A9"/>
    <w:rsid w:val="003D7665"/>
    <w:rsid w:val="003D771C"/>
    <w:rsid w:val="003D79A3"/>
    <w:rsid w:val="003D79CD"/>
    <w:rsid w:val="003D7BC4"/>
    <w:rsid w:val="003D7D34"/>
    <w:rsid w:val="003E06DF"/>
    <w:rsid w:val="003E06F9"/>
    <w:rsid w:val="003E079D"/>
    <w:rsid w:val="003E0A84"/>
    <w:rsid w:val="003E0FEE"/>
    <w:rsid w:val="003E1153"/>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7AB"/>
    <w:rsid w:val="0040296F"/>
    <w:rsid w:val="00402AC8"/>
    <w:rsid w:val="00402B73"/>
    <w:rsid w:val="00402D49"/>
    <w:rsid w:val="0040329D"/>
    <w:rsid w:val="004038BC"/>
    <w:rsid w:val="004038E2"/>
    <w:rsid w:val="0040391C"/>
    <w:rsid w:val="00403926"/>
    <w:rsid w:val="004042E9"/>
    <w:rsid w:val="00404B4A"/>
    <w:rsid w:val="00405018"/>
    <w:rsid w:val="004058C6"/>
    <w:rsid w:val="004059C9"/>
    <w:rsid w:val="004061C5"/>
    <w:rsid w:val="0040633D"/>
    <w:rsid w:val="00407201"/>
    <w:rsid w:val="00407604"/>
    <w:rsid w:val="00407982"/>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0CD2"/>
    <w:rsid w:val="004211BE"/>
    <w:rsid w:val="00421653"/>
    <w:rsid w:val="0042186B"/>
    <w:rsid w:val="00421E04"/>
    <w:rsid w:val="004220DD"/>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2E6"/>
    <w:rsid w:val="00427387"/>
    <w:rsid w:val="004300DC"/>
    <w:rsid w:val="00430452"/>
    <w:rsid w:val="00430C46"/>
    <w:rsid w:val="00431257"/>
    <w:rsid w:val="004313B4"/>
    <w:rsid w:val="004314A2"/>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AFE"/>
    <w:rsid w:val="00461C28"/>
    <w:rsid w:val="004624A3"/>
    <w:rsid w:val="0046388B"/>
    <w:rsid w:val="00463B12"/>
    <w:rsid w:val="00463D57"/>
    <w:rsid w:val="00464164"/>
    <w:rsid w:val="004647F9"/>
    <w:rsid w:val="004651AF"/>
    <w:rsid w:val="004651B7"/>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2D0"/>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835"/>
    <w:rsid w:val="004D0EA0"/>
    <w:rsid w:val="004D108A"/>
    <w:rsid w:val="004D10F0"/>
    <w:rsid w:val="004D159C"/>
    <w:rsid w:val="004D1EEB"/>
    <w:rsid w:val="004D2E8E"/>
    <w:rsid w:val="004D363D"/>
    <w:rsid w:val="004D4274"/>
    <w:rsid w:val="004D4638"/>
    <w:rsid w:val="004D4C92"/>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BAC"/>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B4"/>
    <w:rsid w:val="005415DB"/>
    <w:rsid w:val="00541718"/>
    <w:rsid w:val="00541A72"/>
    <w:rsid w:val="00541E94"/>
    <w:rsid w:val="00541FFA"/>
    <w:rsid w:val="0054201B"/>
    <w:rsid w:val="005423FF"/>
    <w:rsid w:val="005424AD"/>
    <w:rsid w:val="005425B5"/>
    <w:rsid w:val="0054291C"/>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25F"/>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2CF6"/>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70"/>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2B"/>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079"/>
    <w:rsid w:val="005B7B5F"/>
    <w:rsid w:val="005C0ABE"/>
    <w:rsid w:val="005C105E"/>
    <w:rsid w:val="005C1140"/>
    <w:rsid w:val="005C1174"/>
    <w:rsid w:val="005C1175"/>
    <w:rsid w:val="005C14AD"/>
    <w:rsid w:val="005C1516"/>
    <w:rsid w:val="005C1871"/>
    <w:rsid w:val="005C1FE0"/>
    <w:rsid w:val="005C25B2"/>
    <w:rsid w:val="005C271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4FD6"/>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2AE"/>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348"/>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4F"/>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3AF"/>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E86"/>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B63"/>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47"/>
    <w:rsid w:val="0077688F"/>
    <w:rsid w:val="00776BB2"/>
    <w:rsid w:val="00776D43"/>
    <w:rsid w:val="00776FB7"/>
    <w:rsid w:val="0077772A"/>
    <w:rsid w:val="00777922"/>
    <w:rsid w:val="00777E2F"/>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28"/>
    <w:rsid w:val="007939A7"/>
    <w:rsid w:val="00793CA8"/>
    <w:rsid w:val="00793CF1"/>
    <w:rsid w:val="00794412"/>
    <w:rsid w:val="0079464E"/>
    <w:rsid w:val="00794E3B"/>
    <w:rsid w:val="00795215"/>
    <w:rsid w:val="007957CD"/>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6EA8"/>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EF0"/>
    <w:rsid w:val="00825FE1"/>
    <w:rsid w:val="00826017"/>
    <w:rsid w:val="0082629B"/>
    <w:rsid w:val="008266A5"/>
    <w:rsid w:val="00826A9D"/>
    <w:rsid w:val="00826BD5"/>
    <w:rsid w:val="0082717B"/>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09A"/>
    <w:rsid w:val="008365A7"/>
    <w:rsid w:val="0083669C"/>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066"/>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29E"/>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532"/>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3DAE"/>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723"/>
    <w:rsid w:val="008F7A3C"/>
    <w:rsid w:val="008F7B1F"/>
    <w:rsid w:val="0090089A"/>
    <w:rsid w:val="00900CEF"/>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4FEE"/>
    <w:rsid w:val="00915142"/>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5EEB"/>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5F2C"/>
    <w:rsid w:val="009371D4"/>
    <w:rsid w:val="0093725F"/>
    <w:rsid w:val="00937E33"/>
    <w:rsid w:val="009409A5"/>
    <w:rsid w:val="00940CAA"/>
    <w:rsid w:val="00941279"/>
    <w:rsid w:val="009412C6"/>
    <w:rsid w:val="009424BE"/>
    <w:rsid w:val="009426F7"/>
    <w:rsid w:val="00942DB0"/>
    <w:rsid w:val="00943285"/>
    <w:rsid w:val="00943DF4"/>
    <w:rsid w:val="009443AF"/>
    <w:rsid w:val="009446EA"/>
    <w:rsid w:val="009447F7"/>
    <w:rsid w:val="00945157"/>
    <w:rsid w:val="00945461"/>
    <w:rsid w:val="00945537"/>
    <w:rsid w:val="00945935"/>
    <w:rsid w:val="00945F74"/>
    <w:rsid w:val="009462D4"/>
    <w:rsid w:val="00946597"/>
    <w:rsid w:val="0094720D"/>
    <w:rsid w:val="00947445"/>
    <w:rsid w:val="009476E1"/>
    <w:rsid w:val="0094794A"/>
    <w:rsid w:val="009502CE"/>
    <w:rsid w:val="0095037F"/>
    <w:rsid w:val="00950672"/>
    <w:rsid w:val="00951604"/>
    <w:rsid w:val="00951BF5"/>
    <w:rsid w:val="00951FEB"/>
    <w:rsid w:val="0095220A"/>
    <w:rsid w:val="0095220B"/>
    <w:rsid w:val="00952316"/>
    <w:rsid w:val="00952B7C"/>
    <w:rsid w:val="00953D37"/>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119"/>
    <w:rsid w:val="00972490"/>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5A6"/>
    <w:rsid w:val="0098068D"/>
    <w:rsid w:val="0098191E"/>
    <w:rsid w:val="0098213A"/>
    <w:rsid w:val="009824CA"/>
    <w:rsid w:val="009836D0"/>
    <w:rsid w:val="00983E39"/>
    <w:rsid w:val="009841C0"/>
    <w:rsid w:val="00984EB7"/>
    <w:rsid w:val="009855B6"/>
    <w:rsid w:val="0098563D"/>
    <w:rsid w:val="0098598C"/>
    <w:rsid w:val="00985B18"/>
    <w:rsid w:val="009862B8"/>
    <w:rsid w:val="0098664F"/>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057"/>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3BD"/>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2FFA"/>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77D"/>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4F72"/>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36E"/>
    <w:rsid w:val="00B44616"/>
    <w:rsid w:val="00B455D4"/>
    <w:rsid w:val="00B456D8"/>
    <w:rsid w:val="00B458C8"/>
    <w:rsid w:val="00B458E2"/>
    <w:rsid w:val="00B45906"/>
    <w:rsid w:val="00B46349"/>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A17"/>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4B4"/>
    <w:rsid w:val="00B92743"/>
    <w:rsid w:val="00B92A62"/>
    <w:rsid w:val="00B93607"/>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1D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7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500"/>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0F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0795D"/>
    <w:rsid w:val="00C10261"/>
    <w:rsid w:val="00C10A32"/>
    <w:rsid w:val="00C11BD1"/>
    <w:rsid w:val="00C11FC3"/>
    <w:rsid w:val="00C121BD"/>
    <w:rsid w:val="00C121D9"/>
    <w:rsid w:val="00C1221C"/>
    <w:rsid w:val="00C1271B"/>
    <w:rsid w:val="00C12C1D"/>
    <w:rsid w:val="00C13333"/>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67ED9"/>
    <w:rsid w:val="00C7010B"/>
    <w:rsid w:val="00C7035F"/>
    <w:rsid w:val="00C707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958"/>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58F"/>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4FF9"/>
    <w:rsid w:val="00CB50AC"/>
    <w:rsid w:val="00CB6116"/>
    <w:rsid w:val="00CB65BA"/>
    <w:rsid w:val="00CB6752"/>
    <w:rsid w:val="00CB693B"/>
    <w:rsid w:val="00CB6E70"/>
    <w:rsid w:val="00CB72EA"/>
    <w:rsid w:val="00CB7374"/>
    <w:rsid w:val="00CB7814"/>
    <w:rsid w:val="00CB79AA"/>
    <w:rsid w:val="00CB7DB8"/>
    <w:rsid w:val="00CB7FC3"/>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8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4E0"/>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823"/>
    <w:rsid w:val="00D80950"/>
    <w:rsid w:val="00D82568"/>
    <w:rsid w:val="00D8282C"/>
    <w:rsid w:val="00D82FD6"/>
    <w:rsid w:val="00D83B47"/>
    <w:rsid w:val="00D83D80"/>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4BB"/>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154B"/>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12"/>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15E8"/>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49B"/>
    <w:rsid w:val="00E57C85"/>
    <w:rsid w:val="00E6000F"/>
    <w:rsid w:val="00E6007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0D0"/>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5BB4"/>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DD8"/>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B7EF8"/>
    <w:rsid w:val="00EC0147"/>
    <w:rsid w:val="00EC03BE"/>
    <w:rsid w:val="00EC04C9"/>
    <w:rsid w:val="00EC0893"/>
    <w:rsid w:val="00EC09FE"/>
    <w:rsid w:val="00EC0F40"/>
    <w:rsid w:val="00EC1902"/>
    <w:rsid w:val="00EC1B2D"/>
    <w:rsid w:val="00EC1D3E"/>
    <w:rsid w:val="00EC28F4"/>
    <w:rsid w:val="00EC2B89"/>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43"/>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403"/>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A5F"/>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6F36"/>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1AC"/>
    <w:rsid w:val="00F462E4"/>
    <w:rsid w:val="00F4631D"/>
    <w:rsid w:val="00F465E3"/>
    <w:rsid w:val="00F47185"/>
    <w:rsid w:val="00F4738C"/>
    <w:rsid w:val="00F47ABE"/>
    <w:rsid w:val="00F47C6C"/>
    <w:rsid w:val="00F5037A"/>
    <w:rsid w:val="00F50687"/>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556"/>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08"/>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A0B"/>
    <w:rsid w:val="00FB0B3C"/>
    <w:rsid w:val="00FB157D"/>
    <w:rsid w:val="00FB1962"/>
    <w:rsid w:val="00FB1A3C"/>
    <w:rsid w:val="00FB1A8B"/>
    <w:rsid w:val="00FB2CE0"/>
    <w:rsid w:val="00FB2EB9"/>
    <w:rsid w:val="00FB4141"/>
    <w:rsid w:val="00FB454B"/>
    <w:rsid w:val="00FB4B69"/>
    <w:rsid w:val="00FB4CF8"/>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5F6"/>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C23"/>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718"/>
        <w:tab w:val="num" w:pos="860"/>
      </w:tabs>
      <w:spacing w:before="180"/>
      <w:ind w:left="86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8BD96-A11B-4B12-8D49-261EB3A27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2</Pages>
  <Words>531</Words>
  <Characters>3033</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9</cp:revision>
  <cp:lastPrinted>2012-03-15T10:36:00Z</cp:lastPrinted>
  <dcterms:created xsi:type="dcterms:W3CDTF">2025-01-13T07:32:00Z</dcterms:created>
  <dcterms:modified xsi:type="dcterms:W3CDTF">2025-05-08T07:54:00Z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